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276" w:before="57" w:after="177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„Poprawa infrastruktury drogowej w ramach zadania: Remont ulic Reymonta i Staszica</w:t>
        <w:br/>
        <w:t>w Szydłowcu”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 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 Specyfikacji Warunków Zamówienia</w:t>
      </w:r>
      <w:bookmarkEnd w:id="0"/>
      <w:r>
        <w:rPr>
          <w:rFonts w:cs="Arial" w:ascii="Arial" w:hAnsi="Arial"/>
          <w:szCs w:val="21"/>
        </w:rPr>
        <w:t xml:space="preserve"> 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 xml:space="preserve">w </w:t>
      </w:r>
      <w:bookmarkStart w:id="1" w:name="_Hlk99016450"/>
      <w:r>
        <w:rPr>
          <w:rFonts w:cs="Arial" w:ascii="Arial" w:hAnsi="Arial"/>
          <w:szCs w:val="21"/>
        </w:rPr>
        <w:t>Specyfikacji Warunków Zamówienia 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40" w:before="57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6520" w:right="0" w:hanging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 xml:space="preserve">„Poprawa infrastruktury drogowej w ramach zadania: Remont ulic Reymonta i Staszica </w:t>
        <w:br/>
        <w:t>w Szydłowcu”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6</Pages>
  <Words>1521</Words>
  <Characters>10850</Characters>
  <CharactersWithSpaces>12297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2023-07-17T11:55:05Z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