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>Informacja czy osoba posiada uprawnienia budowlane do kierowania robotami budowlanymi bez ograniczeń w specjalności drogowej 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CF18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wykonywaniu zadań o wartości nie mniejszej niż </w:t>
            </w:r>
            <w:r w:rsidR="00CF182E">
              <w:rPr>
                <w:b/>
                <w:sz w:val="18"/>
                <w:szCs w:val="18"/>
              </w:rPr>
              <w:t>150</w:t>
            </w:r>
            <w:r w:rsidR="00076167">
              <w:rPr>
                <w:b/>
                <w:sz w:val="18"/>
                <w:szCs w:val="18"/>
              </w:rPr>
              <w:t xml:space="preserve"> tys. zł.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  <w:bookmarkStart w:id="0" w:name="_GoBack"/>
      <w:bookmarkEnd w:id="0"/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76167"/>
    <w:rsid w:val="00324DE2"/>
    <w:rsid w:val="005A2817"/>
    <w:rsid w:val="008505D7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4</cp:revision>
  <cp:lastPrinted>2017-03-01T11:31:00Z</cp:lastPrinted>
  <dcterms:created xsi:type="dcterms:W3CDTF">2017-01-04T10:19:00Z</dcterms:created>
  <dcterms:modified xsi:type="dcterms:W3CDTF">2017-03-14T09:12:00Z</dcterms:modified>
</cp:coreProperties>
</file>