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15462A">
        <w:rPr>
          <w:sz w:val="24"/>
          <w:szCs w:val="24"/>
        </w:rPr>
        <w:t>budowę pieszo-jezdnego oraz ciągów pieszych na terenie zalewu</w:t>
      </w:r>
      <w:r w:rsidR="006B22D0">
        <w:rPr>
          <w:sz w:val="24"/>
          <w:szCs w:val="24"/>
        </w:rPr>
        <w:t xml:space="preserve"> w Szydłowcu w ramach zadania budżetowego pn. „Rozwój aktywności społeczno-gospodarczej obszarów rewitalizowanych poprzez zagospodarowanie terenu nad zalewem, rzeką Korzeniówką oraz modernizację kina Górnik” </w:t>
      </w:r>
      <w:r>
        <w:rPr>
          <w:sz w:val="24"/>
          <w:szCs w:val="24"/>
        </w:rPr>
        <w:t>oznaczenie sprawy ZPI.271.</w:t>
      </w:r>
      <w:r w:rsidR="0015462A">
        <w:rPr>
          <w:sz w:val="24"/>
          <w:szCs w:val="24"/>
        </w:rPr>
        <w:t>3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2020-02-26T12:28:00Z</cp:lastPrinted>
  <dcterms:created xsi:type="dcterms:W3CDTF">2017-01-04T10:44:00Z</dcterms:created>
  <dcterms:modified xsi:type="dcterms:W3CDTF">2020-02-26T12:32:00Z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