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  <w:bookmarkStart w:id="0" w:name="_GoBack"/>
      <w:r w:rsidR="00121003">
        <w:rPr>
          <w:sz w:val="24"/>
          <w:szCs w:val="24"/>
        </w:rPr>
        <w:t>Modernizacja, przebudowa Kina Górnik w Szydłowcu w ramach zadania budżetowego pn. „Rozwój aktywności społeczno-gospodarczej obszarów rewitalizowanych poprzez zagospodarowanie terenu nad zalewem, rzeką Korzeniówką oraz modernizację kina Górnik”</w:t>
      </w:r>
      <w:bookmarkEnd w:id="0"/>
      <w:r w:rsidR="00C51BC8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F68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4820B3"/>
    <w:rsid w:val="00532357"/>
    <w:rsid w:val="005D20B1"/>
    <w:rsid w:val="00641B55"/>
    <w:rsid w:val="00742F68"/>
    <w:rsid w:val="00A0667F"/>
    <w:rsid w:val="00B413B2"/>
    <w:rsid w:val="00C50B42"/>
    <w:rsid w:val="00C51BC8"/>
    <w:rsid w:val="00DE5ED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18</cp:revision>
  <cp:lastPrinted>2019-11-06T10:15:00Z</cp:lastPrinted>
  <dcterms:created xsi:type="dcterms:W3CDTF">2016-09-05T06:43:00Z</dcterms:created>
  <dcterms:modified xsi:type="dcterms:W3CDTF">2019-11-06T12:47:00Z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