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 xml:space="preserve">Co najmniej jedna robota budowlana polegająca na </w:t>
      </w:r>
      <w:r w:rsidR="006D4B9B" w:rsidRPr="006D4B9B">
        <w:rPr>
          <w:sz w:val="24"/>
          <w:szCs w:val="24"/>
        </w:rPr>
        <w:t>budowie infrastruktury sportu i rekreacji typu plac zabaw lub siłownia zewnętrzna (plenerowa) o wartości co najmniej 400 tys. zł. brutto</w:t>
      </w:r>
      <w:r w:rsidR="006D4B9B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6D4B9B"/>
    <w:rsid w:val="00D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7E79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10</cp:revision>
  <cp:lastPrinted>2019-02-05T08:24:00Z</cp:lastPrinted>
  <dcterms:created xsi:type="dcterms:W3CDTF">2017-01-04T09:42:00Z</dcterms:created>
  <dcterms:modified xsi:type="dcterms:W3CDTF">2019-06-14T09:18:00Z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