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AF676E">
        <w:rPr>
          <w:sz w:val="24"/>
          <w:szCs w:val="24"/>
        </w:rPr>
        <w:t>Budowa linii oświetleniowej przy drodze Ciechostowice – Łazy gmina S</w:t>
      </w:r>
      <w:bookmarkStart w:id="0" w:name="_GoBack"/>
      <w:bookmarkEnd w:id="0"/>
      <w:r w:rsidR="00AF676E">
        <w:rPr>
          <w:sz w:val="24"/>
          <w:szCs w:val="24"/>
        </w:rPr>
        <w:t>zydłowiec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6E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AF676E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2019-05-14T11:35:00Z</cp:lastPrinted>
  <dcterms:created xsi:type="dcterms:W3CDTF">2016-09-05T06:55:00Z</dcterms:created>
  <dcterms:modified xsi:type="dcterms:W3CDTF">2019-05-14T11:36:00Z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