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budowie lub przebudowie </w:t>
      </w:r>
      <w:r w:rsidR="00841B12">
        <w:rPr>
          <w:sz w:val="24"/>
          <w:szCs w:val="24"/>
        </w:rPr>
        <w:t>obiektu użyteczności publicznej o wartości co najmniej 1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8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9</cp:revision>
  <cp:lastPrinted>2019-02-06T14:06:00Z</cp:lastPrinted>
  <dcterms:created xsi:type="dcterms:W3CDTF">2017-01-04T09:42:00Z</dcterms:created>
  <dcterms:modified xsi:type="dcterms:W3CDTF">2019-02-06T14:07:00Z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