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</w:t>
      </w:r>
      <w:r>
        <w:rPr>
          <w:b/>
          <w:sz w:val="24"/>
          <w:szCs w:val="24"/>
        </w:rPr>
        <w:t xml:space="preserve">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„Modernizacja ciągu dwóch ulic: Kąpielowej i Gen. Józefa Sowińskiego w Szydłowcu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</w:t>
      </w:r>
      <w:r>
        <w:rPr>
          <w:b/>
          <w:sz w:val="24"/>
          <w:szCs w:val="24"/>
        </w:rPr>
        <w:t>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</w:t>
      </w:r>
      <w:r>
        <w:rPr>
          <w:i/>
          <w:sz w:val="24"/>
          <w:szCs w:val="24"/>
        </w:rPr>
        <w:t xml:space="preserve">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</w:t>
      </w:r>
      <w:r>
        <w:t>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</w:t>
      </w:r>
      <w:r>
        <w:rPr>
          <w:b/>
          <w:sz w:val="21"/>
          <w:szCs w:val="21"/>
        </w:rPr>
        <w:t>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</w:t>
      </w:r>
      <w:r>
        <w:rPr>
          <w:sz w:val="24"/>
          <w:szCs w:val="24"/>
        </w:rPr>
        <w:t>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</w:t>
      </w:r>
      <w:r>
        <w:rPr>
          <w:sz w:val="24"/>
          <w:szCs w:val="24"/>
        </w:rPr>
        <w:t xml:space="preserve">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 xml:space="preserve">W przypadku Wykonawcy, który powołuje się na zasoby innych podmiotów, o których mowa w pkt. 10 SIWZ, w zakresie, </w:t>
      </w:r>
      <w:r>
        <w:rPr>
          <w:b/>
          <w:sz w:val="18"/>
          <w:szCs w:val="18"/>
        </w:rPr>
        <w:t>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 xml:space="preserve">Zgodnie z art. 24 ust. 1 pkt 13 – 23 ustawy Prawo zamówień publicznych z postępowania o udzielenie zamówienia wyklucza </w:t>
      </w:r>
      <w:r>
        <w:rPr>
          <w:b/>
          <w:spacing w:val="8"/>
        </w:rPr>
        <w:t>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 będącego osobą fizyczną, którego prawomocnie </w:t>
      </w:r>
      <w:r>
        <w:rPr>
          <w:sz w:val="18"/>
          <w:szCs w:val="18"/>
        </w:rPr>
        <w:t>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</w:t>
      </w:r>
      <w:r>
        <w:rPr>
          <w:sz w:val="18"/>
          <w:szCs w:val="18"/>
        </w:rPr>
        <w:t>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</w:t>
      </w:r>
      <w:r>
        <w:rPr>
          <w:sz w:val="18"/>
          <w:szCs w:val="18"/>
        </w:rPr>
        <w:t>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</w:t>
      </w:r>
      <w:r>
        <w:rPr>
          <w:sz w:val="18"/>
          <w:szCs w:val="18"/>
        </w:rPr>
        <w:t>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</w:t>
      </w:r>
      <w:r>
        <w:rPr>
          <w:sz w:val="18"/>
          <w:szCs w:val="18"/>
        </w:rPr>
        <w:t>eganiu z uiszczeniem podatków, opłat lub składek na ubezpieczenia społeczne lub zdrowotne, chyba że wykonawca dokonał płatności należnych podatków, opłat lub składek na ubezpieczenia społeczne lub zdrowotne wraz z odsetkami lub grzywnami lub zawarł wiążące</w:t>
      </w:r>
      <w:r>
        <w:rPr>
          <w:sz w:val="18"/>
          <w:szCs w:val="18"/>
        </w:rPr>
        <w:t xml:space="preserve">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</w:t>
      </w:r>
      <w:r>
        <w:rPr>
          <w:sz w:val="18"/>
          <w:szCs w:val="18"/>
        </w:rPr>
        <w:t xml:space="preserve">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</w:t>
      </w:r>
      <w:r>
        <w:rPr>
          <w:sz w:val="18"/>
          <w:szCs w:val="18"/>
        </w:rPr>
        <w:t>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</w:t>
      </w:r>
      <w:r>
        <w:rPr>
          <w:sz w:val="18"/>
          <w:szCs w:val="18"/>
        </w:rPr>
        <w:t>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wykonawcę, który brał udział w przygotowaniu postępowania o udzielenie zamówienia lub którego pracownik, a także osoba wykonująca pracę na podstawie umowy zlecenia, o dzieło, agencyjnej lub innej </w:t>
      </w:r>
      <w:r>
        <w:rPr>
          <w:sz w:val="18"/>
          <w:szCs w:val="18"/>
        </w:rPr>
        <w:t>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</w:t>
      </w:r>
      <w:r>
        <w:rPr>
          <w:sz w:val="18"/>
          <w:szCs w:val="18"/>
        </w:rPr>
        <w:t>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</w:t>
      </w:r>
      <w:r>
        <w:rPr>
          <w:sz w:val="18"/>
          <w:szCs w:val="18"/>
        </w:rPr>
        <w:t>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</w:t>
      </w:r>
      <w:r>
        <w:rPr>
          <w:sz w:val="18"/>
          <w:szCs w:val="18"/>
        </w:rPr>
        <w:t>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</w:t>
      </w:r>
      <w:r>
        <w:rPr>
          <w:sz w:val="18"/>
          <w:szCs w:val="18"/>
        </w:rPr>
        <w:t>015 r. poz. 184, 1618 i 1634), złożyli odrębne oferty, oferty częściowe lub wnioski o dopuszczenie do udziału w postępowaniu, chyba że wykażą, że istniejące między nimi powiązania nie prowadzą do zakłócenia konkurencji w postępowaniu o udzielenie zamówieni</w:t>
      </w:r>
      <w:r>
        <w:rPr>
          <w:sz w:val="18"/>
          <w:szCs w:val="18"/>
        </w:rPr>
        <w:t>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</w:t>
      </w:r>
      <w:r>
        <w:rPr>
          <w:spacing w:val="8"/>
          <w:sz w:val="18"/>
          <w:szCs w:val="18"/>
        </w:rPr>
        <w:t>ajątku lub sąd zarządził likwidację jego majątku w trybie art. 332 ust. 1 ustawy z dnia 15 maja 2015 r. – Prawo restrukturyzacyjne lub którego upadłość ogłoszono, z wyjątkiem wykonawcy, który po ogłoszeniu upadłości zawarł układ zatwierdzony prawomocnym po</w:t>
      </w:r>
      <w:r>
        <w:rPr>
          <w:spacing w:val="8"/>
          <w:sz w:val="18"/>
          <w:szCs w:val="18"/>
        </w:rPr>
        <w:t>stanowieniem sądu, jeżeli układ nie przewiduje zaspokojenia wierzycieli przez likwidację majątku upadłego, chyba że sąd zarządził likwidację jego majątku w trybie art. 366 ust. 1 ustawy z dnia 28 lutego 2003 r. – Prawo upadłościowe (Dz. U. z 2015 r. poz. 2</w:t>
      </w:r>
      <w:r>
        <w:rPr>
          <w:spacing w:val="8"/>
          <w:sz w:val="18"/>
          <w:szCs w:val="18"/>
        </w:rPr>
        <w:t>33, z późn. zm..</w:t>
      </w:r>
    </w:p>
    <w:sectPr w:rsidR="00401734"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401734"/>
    <w:rsid w:val="006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2018-09-11T10:12:00Z</cp:lastPrinted>
  <dcterms:created xsi:type="dcterms:W3CDTF">2016-09-05T06:55:00Z</dcterms:created>
  <dcterms:modified xsi:type="dcterms:W3CDTF">2018-09-11T10:14:00Z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